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tbl>
      <w:tblPr>
        <w:tblStyle w:val="NormalTable"/>
        <w:name w:val="Таблица2"/>
        <w:tabOrder w:val="0"/>
        <w:tblpPr w:horzAnchor="margin" w:tblpXSpec="center" w:vertAnchor="page" w:tblpY="421" w:leftFromText="180" w:rightFromText="180" w:topFromText="0" w:bottomFromText="0"/>
        <w:tblOverlap w:val="never"/>
        <w:jc w:val="left"/>
        <w:tblInd w:w="0" w:type="dxa"/>
        <w:tblW w:w="10398" w:type="dxa"/>
        <w:tblLook w:val="01E0" w:firstRow="1" w:lastRow="1" w:firstColumn="1" w:lastColumn="1" w:noHBand="0" w:noVBand="0"/>
      </w:tblPr>
      <w:tblGrid>
        <w:gridCol w:w="10398"/>
      </w:tblGrid>
      <w:tr>
        <w:trPr>
          <w:cantSplit w:val="0"/>
          <w:trHeight w:val="284" w:hRule="atLeast"/>
        </w:trPr>
        <w:tc>
          <w:tcPr>
            <w:tcW w:w="10398" w:type="dxa"/>
            <w:tmTcPr id="1791528081" protected="0"/>
          </w:tcPr>
          <w:p>
            <w:pPr>
              <w:widowControl w:val="0"/>
            </w:pPr>
            <w:r>
              <w:t xml:space="preserve">                                                                          </w:t>
            </w:r>
            <w:r>
              <w:rPr>
                <w:noProof/>
              </w:rPr>
              <w:drawing>
                <wp:inline distT="0" distB="0" distL="0" distR="0">
                  <wp:extent cx="457200" cy="718185"/>
                  <wp:effectExtent l="0" t="0" r="0" b="0"/>
                  <wp:docPr id="1" name="Рисунок 1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 Копия 1"/>
                          <pic:cNvPicPr>
                            <a:picLocks noChangeAspect="1"/>
                            <a:extLst>
                              <a:ext uri="sm">
                                <sm:smNativeData xmlns:sm="sm" val="SMDATA_16_kYzI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BAAAAAAAAAAAAAAAAAAAAAAAAAAAAAAAAAAAA0AIAAGsE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71818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/>
          </w:p>
        </w:tc>
      </w:tr>
      <w:tr>
        <w:trPr>
          <w:cantSplit w:val="0"/>
          <w:trHeight w:val="2851" w:hRule="atLeast"/>
        </w:trPr>
        <w:tc>
          <w:tcPr>
            <w:tcW w:w="10398" w:type="dxa"/>
            <w:tmTcPr id="1791528081" protected="0"/>
          </w:tcPr>
          <w:p>
            <w:pPr>
              <w:spacing w:line="276" w:lineRule="auto"/>
              <w:jc w:val="center"/>
              <w:widowControl w:val="0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КЕМЕРОВСКАЯ ОБЛАСТЬ - Кузбасс</w:t>
            </w:r>
          </w:p>
          <w:p>
            <w:pPr>
              <w:spacing w:line="276" w:lineRule="auto"/>
              <w:jc w:val="center"/>
              <w:widowControl w:val="0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Анжеро-Судженский городской округ</w:t>
            </w:r>
          </w:p>
          <w:p>
            <w:pPr>
              <w:spacing w:line="276" w:lineRule="auto"/>
              <w:jc w:val="center"/>
              <w:widowControl w:val="0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Администрация Анжеро-Судженского городского округа</w:t>
            </w:r>
          </w:p>
          <w:p>
            <w:pPr>
              <w:spacing w:line="276" w:lineRule="auto"/>
              <w:jc w:val="center"/>
              <w:widowControl w:val="0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</w:r>
          </w:p>
          <w:p>
            <w:pPr>
              <w:spacing w:line="360" w:lineRule="auto"/>
              <w:jc w:val="center"/>
              <w:widowControl w:val="0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Постановление</w:t>
            </w:r>
          </w:p>
          <w:tbl>
            <w:tblPr>
              <w:tblStyle w:val="NormalTable"/>
              <w:name w:val="Таблица1"/>
              <w:tabOrder w:val="0"/>
              <w:jc w:val="left"/>
              <w:tblInd w:w="0" w:type="dxa"/>
              <w:tblW w:w="10182" w:type="dxa"/>
              <w:tblLook w:val="01E0" w:firstRow="1" w:lastRow="1" w:firstColumn="1" w:lastColumn="1" w:noHBand="0" w:noVBand="0"/>
            </w:tblPr>
            <w:tblGrid>
              <w:gridCol w:w="1531"/>
              <w:gridCol w:w="626"/>
              <w:gridCol w:w="396"/>
              <w:gridCol w:w="1751"/>
              <w:gridCol w:w="532"/>
              <w:gridCol w:w="506"/>
              <w:gridCol w:w="583"/>
              <w:gridCol w:w="588"/>
              <w:gridCol w:w="1961"/>
              <w:gridCol w:w="1708"/>
            </w:tblGrid>
            <w:tr>
              <w:trPr>
                <w:cantSplit w:val="0"/>
                <w:trHeight w:val="339" w:hRule="atLeast"/>
              </w:trPr>
              <w:tc>
                <w:tcPr>
                  <w:tcW w:w="1531" w:type="dxa"/>
                  <w:tmTcPr id="1791528081" protected="0"/>
                </w:tcPr>
                <w:p>
                  <w:pPr>
                    <w:ind w:right="33"/>
                    <w:spacing/>
                    <w:jc w:val="right"/>
                    <w:widowControl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  «</w:t>
                  </w:r>
                </w:p>
              </w:tc>
              <w:tc>
                <w:tcPr>
                  <w:tcW w:w="626" w:type="dxa"/>
                  <w:tcBorders>
                    <w:bottom w:val="single" w:sz="4" w:space="0" w:color="000000" tmln="10, 20, 20, 0, 0"/>
                  </w:tcBorders>
                  <w:tmTcPr id="1791528081" protected="0"/>
                </w:tcPr>
                <w:p>
                  <w:pPr>
                    <w:spacing/>
                    <w:jc w:val="center"/>
                    <w:widowControl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09  </w:t>
                  </w:r>
                </w:p>
              </w:tc>
              <w:tc>
                <w:tcPr>
                  <w:tcW w:w="396" w:type="dxa"/>
                  <w:tmTcPr id="1791528081" protected="0"/>
                </w:tcPr>
                <w:p>
                  <w:pPr>
                    <w:spacing/>
                    <w:jc w:val="both"/>
                    <w:widowControl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»</w:t>
                  </w:r>
                </w:p>
              </w:tc>
              <w:tc>
                <w:tcPr>
                  <w:tcW w:w="1751" w:type="dxa"/>
                  <w:tcBorders>
                    <w:bottom w:val="single" w:sz="4" w:space="0" w:color="000000" tmln="10, 20, 20, 0, 0"/>
                  </w:tcBorders>
                  <w:tmTcPr id="1791528081" protected="0"/>
                </w:tcPr>
                <w:p>
                  <w:pPr>
                    <w:widowControl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октября</w:t>
                  </w:r>
                </w:p>
              </w:tc>
              <w:tc>
                <w:tcPr>
                  <w:tcW w:w="532" w:type="dxa"/>
                  <w:tmTcPr id="1791528081" protected="0"/>
                </w:tcPr>
                <w:p>
                  <w:pPr>
                    <w:ind w:right="-76"/>
                    <w:spacing/>
                    <w:jc w:val="right"/>
                    <w:widowControl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506" w:type="dxa"/>
                  <w:tcBorders>
                    <w:bottom w:val="single" w:sz="4" w:space="0" w:color="000000" tmln="10, 20, 20, 0, 0"/>
                  </w:tcBorders>
                  <w:tmTcPr id="1791528081" protected="0"/>
                </w:tcPr>
                <w:p>
                  <w:pPr>
                    <w:ind w:right="-152"/>
                    <w:widowControl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583" w:type="dxa"/>
                  <w:tmTcPr id="1791528081" protected="0"/>
                </w:tcPr>
                <w:p>
                  <w:pPr>
                    <w:widowControl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г.</w:t>
                  </w:r>
                </w:p>
              </w:tc>
              <w:tc>
                <w:tcPr>
                  <w:tcW w:w="588" w:type="dxa"/>
                  <w:tmTcPr id="1791528081" protected="0"/>
                </w:tcPr>
                <w:p>
                  <w:pPr>
                    <w:widowControl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1961" w:type="dxa"/>
                  <w:tcBorders>
                    <w:bottom w:val="single" w:sz="4" w:space="0" w:color="000000" tmln="10, 20, 20, 0, 0"/>
                  </w:tcBorders>
                  <w:tmTcPr id="1791528081" protected="0"/>
                </w:tcPr>
                <w:p>
                  <w:pPr>
                    <w:spacing/>
                    <w:jc w:val="center"/>
                    <w:widowControl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775  </w:t>
                  </w:r>
                </w:p>
              </w:tc>
              <w:tc>
                <w:tcPr>
                  <w:tcW w:w="1708" w:type="dxa"/>
                  <w:tmTcPr id="1791528081" protected="0"/>
                </w:tcPr>
                <w:p>
                  <w:pPr>
                    <w:widowControl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</w:r>
                </w:p>
              </w:tc>
            </w:tr>
          </w:tbl>
          <w:p>
            <w:pPr>
              <w:tabs defTabSz="708">
                <w:tab w:val="left" w:pos="159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spacing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0" hidden="0" allowOverlap="1">
                <wp:simplePos x="0" y="0"/>
                <wp:positionH relativeFrom="margin">
                  <wp:align>center</wp:align>
                </wp:positionH>
                <wp:positionV relativeFrom="page">
                  <wp:posOffset>267335</wp:posOffset>
                </wp:positionV>
                <wp:extent cx="114300" cy="175260"/>
                <wp:effectExtent l="0" t="0" r="0" b="0"/>
                <wp:wrapSquare wrapText="bothSides"/>
                <wp:docPr id="3" name="Текстовое 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">
                            <sm:smNativeData xmlns:sm="sm" val="SMDATA_14_kYzIahMAAAAlAAAAEg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CBJQAAOEE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AAAAAAogAAAAAAAAAAAAACAAAAAQAAAAAAAAABAAAAAAAAAKUBAAC0AAAAFAEAAAAAAAAVGAAApQEAACgAAAAIAAAAAgAAAAIAAAA="/>
                          </a:ext>
                        </a:extLst>
                      </wps:cNvSpPr>
                      <wps:spPr>
                        <a:xfrm>
                          <a:off x="0" y="0"/>
                          <a:ext cx="114300" cy="1752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>
                            <w:r/>
                          </w:p>
                        </w:txbxContent>
                      </wps:txbx>
                      <wps:bodyPr spcFirstLastPara="1" vertOverflow="clip" horzOverflow="clip" wrap="none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path gradientshapeok="t" o:connecttype="rect"/>
              </v:shapetype>
              <v:shape id="Текстовое поле 2" o:spid="_x0000_s1026" type="#_x0000_t202" style="position:absolute;mso-position-horizontal:center;margin-top:21.05pt;mso-position-horizontal-relative:margin;mso-position-vertical-relative:page;width:9.00pt;height:13.80pt;z-index:251658243;mso-wrap-distance-left:9.00pt;mso-wrap-distance-top:0.00pt;mso-wrap-distance-right:9.00pt;mso-wrap-distance-bottom:0.00pt;mso-wrap-style:none" stroked="f" filled="f" v:ext="SMDATA_14_kYzIahMAAAAlAAAAEg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CBJQAAOEE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AAAAAAogAAAAAAAAAAAAACAAAAAQAAAAAAAAABAAAAAAAAAKUBAAC0AAAAFAEAAAAAAAAVGAAApQEAACgAAAAIAAAAAgAAAAIAAAA=" o:insetmode="custom">
                <w10:wrap type="square" anchorx="margin" anchory="page"/>
                <v:textbox style="mso-fit-shape-to-text:t" inset="0.0pt,0.0pt,0.0pt,0.0pt">
                  <w:txbxContent>
                    <w:p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0" hidden="0" allowOverlap="1">
                <wp:simplePos x="0" y="0"/>
                <wp:positionH relativeFrom="margin">
                  <wp:align>center</wp:align>
                </wp:positionH>
                <wp:positionV relativeFrom="page">
                  <wp:posOffset>267335</wp:posOffset>
                </wp:positionV>
                <wp:extent cx="114300" cy="175260"/>
                <wp:effectExtent l="0" t="0" r="0" b="0"/>
                <wp:wrapSquare wrapText="bothSides"/>
                <wp:docPr id="4" name="Текстовое 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kYzI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ogAAIAAAAAAAAAACAAAAAQAAAAAAAAAAAAAAAAAAAKUBAAC0AAAAFAEAAAAAAAAVGAAApQEAACgAAAAIAAAAAwAAAAMAAAA="/>
                          </a:ext>
                        </a:extLst>
                      </wps:cNvSpPr>
                      <wps:spPr>
                        <a:xfrm>
                          <a:off x="0" y="0"/>
                          <a:ext cx="114300" cy="1752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>
                            <w:r/>
                          </w:p>
                        </w:txbxContent>
                      </wps:txbx>
                      <wps:bodyPr spcFirstLastPara="1" vertOverflow="clip" horzOverflow="clip" wrap="none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Текстовое поле 3" o:spid="_x0000_s1027" style="position:absolute;mso-position-horizontal:center;margin-top:21.05pt;mso-position-horizontal-relative:margin;mso-position-vertical-relative:page;width:9.00pt;height:13.80pt;z-index:251658244;mso-wrap-distance-left:9.00pt;mso-wrap-distance-top:0.00pt;mso-wrap-distance-right:9.00pt;mso-wrap-distance-bottom:0.00pt;mso-wrap-style:none" stroked="f" filled="f" v:ext="SMDATA_14_kYzI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ogAAIAAAAAAAAAACAAAAAQAAAAAAAAAAAAAAAAAAAKUBAAC0AAAAFAEAAAAAAAAVGAAApQEAACgAAAAIAAAAAwAAAAMAAAA=" o:insetmode="custom">
                <w10:wrap type="square" anchorx="margin" anchory="page"/>
                <v:textbox style="mso-fit-shape-to-text:t" inset="0.0pt,0.0pt,0.0pt,0.0pt">
                  <w:txbxContent>
                    <w:p>
                      <w:r/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 xml:space="preserve">О внесении изменений в постановление администрации Анжеро-Судженского городского округа от 29.04.2026 г. № 279 </w:t>
      </w:r>
      <w:r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 создании межведомственного консилиума по принятию решений обоснованности помещения детей, а также продления срока пребывания детей в учреждениях социального обслуживания семьи и детей, учреждениях здравоохранения, организациях для детей-сирот и детей, оставшихся без попечения родителей на территории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Анжеро-Судженского городского округа</w:t>
      </w:r>
      <w:r>
        <w:rPr>
          <w:b/>
          <w:sz w:val="28"/>
          <w:szCs w:val="28"/>
        </w:rPr>
        <w:t>».</w:t>
      </w:r>
      <w:r>
        <w:rPr>
          <w:sz w:val="28"/>
          <w:szCs w:val="28"/>
        </w:rPr>
      </w:r>
    </w:p>
    <w:p>
      <w:pPr>
        <w:ind w:firstLine="420"/>
        <w:spacing w:after="60"/>
        <w:jc w:val="center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</w:pPr>
      <w:r>
        <w:rPr>
          <w:b/>
          <w:sz w:val="28"/>
          <w:szCs w:val="28"/>
        </w:rPr>
        <w:t xml:space="preserve">      </w:t>
      </w:r>
      <w:r/>
    </w:p>
    <w:p>
      <w:pPr>
        <w:pStyle w:val="para6"/>
        <w:numPr>
          <w:ilvl w:val="0"/>
          <w:numId w:val="1"/>
        </w:numPr>
        <w:ind w:left="780" w:hanging="360"/>
        <w:spacing w:after="60" w:line="276" w:lineRule="auto"/>
        <w:jc w:val="both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 в постановление администрации Анжеро-Судженского городского округа № 279 от 29.04.2026 г. «О создании межведомственного консилиума по принятию решений обоснованности помещения детей, а также продления срока пребывания детей в учреждениях социального обслуживания семьи и детей, учреждениях здравоохранения, организациях для детей-сирот и детей, оставшихся без попечения родителей на территории Анжеро-Судженского городского округа»:</w:t>
      </w:r>
    </w:p>
    <w:p>
      <w:pPr>
        <w:pStyle w:val="para6"/>
        <w:numPr>
          <w:ilvl w:val="1"/>
          <w:numId w:val="1"/>
        </w:numPr>
        <w:ind w:left="795" w:hanging="375"/>
        <w:spacing w:after="60" w:line="276" w:lineRule="auto"/>
        <w:jc w:val="both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  <w:rPr>
          <w:sz w:val="28"/>
          <w:szCs w:val="28"/>
        </w:rPr>
      </w:pPr>
      <w:r>
        <w:rPr>
          <w:sz w:val="28"/>
          <w:szCs w:val="28"/>
        </w:rPr>
        <w:t xml:space="preserve"> Состав межведомственного консилиума по принятию решений обоснованности помещения детей, а также продления срока пребывания детей в учреждениях социального обслуживания семьи и детей, учреждениях здравоохранения, организациях для детей-сирот и детей, оставшихся без попечения родителей изложить в новой редакции, согласно приложению, к настоящему постановлению.</w:t>
      </w:r>
    </w:p>
    <w:p>
      <w:pPr>
        <w:pStyle w:val="para6"/>
        <w:numPr>
          <w:ilvl w:val="0"/>
          <w:numId w:val="1"/>
        </w:numPr>
        <w:ind w:left="780" w:hanging="36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Анжеро-Судженского городского округа: № 278 от 29.04.2026 г. «О создании межведомственного консилиума по принятию решений обоснованности помещения детей, а также продления срока пребывания детей в учреждениях социального обслуживания семьи и детей, учреждениях здравоохранения, организациях для детей-сирот и детей, оставшихся без попечения родителей на территории Анжеро-Судженского городского округа».</w:t>
      </w:r>
    </w:p>
    <w:p>
      <w:pPr>
        <w: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after="60" w:line="276" w:lineRule="auto"/>
        <w:jc w:val="both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</w:pPr>
      <w:bookmarkStart w:id="0" w:name="_GoBack"/>
      <w:r/>
      <w:r>
        <w:rPr>
          <w:bCs/>
          <w:sz w:val="28"/>
          <w:szCs w:val="28"/>
        </w:rPr>
        <w:t xml:space="preserve">     3.    </w:t>
      </w:r>
      <w:r>
        <w:rPr>
          <w:sz w:val="28"/>
          <w:szCs w:val="28"/>
        </w:rPr>
        <w:t xml:space="preserve">Разместить настоящее постановление на официальном сайте   городского </w:t>
      </w:r>
      <w:r/>
      <w:bookmarkEnd w:id="0"/>
      <w:r/>
      <w:r>
        <w:rPr>
          <w:sz w:val="28"/>
          <w:szCs w:val="28"/>
        </w:rPr>
        <w:t xml:space="preserve">округа в информационно-телекоммуникационной сети «Интернет», электронный адрес </w:t>
      </w:r>
      <w:hyperlink r:id="rId9" w:history="1">
        <w:r>
          <w:rPr>
            <w:color w:val="0000ff"/>
            <w:sz w:val="28"/>
            <w:szCs w:val="28"/>
            <w:u w:color="auto" w:val="single"/>
            <w:lang w:val="en-us"/>
          </w:rPr>
          <w:t>www</w:t>
        </w:r>
        <w:r>
          <w:rPr>
            <w:color w:val="0000ff"/>
            <w:sz w:val="28"/>
            <w:szCs w:val="28"/>
            <w:u w:color="auto" w:val="single"/>
          </w:rPr>
          <w:t>.</w:t>
        </w:r>
        <w:r>
          <w:rPr>
            <w:color w:val="0000ff"/>
            <w:sz w:val="28"/>
            <w:szCs w:val="28"/>
            <w:u w:color="auto" w:val="single"/>
            <w:lang w:val="en-us"/>
          </w:rPr>
          <w:t>anzhero</w:t>
        </w:r>
        <w:r>
          <w:rPr>
            <w:color w:val="0000ff"/>
            <w:sz w:val="28"/>
            <w:szCs w:val="28"/>
            <w:u w:color="auto" w:val="single"/>
          </w:rPr>
          <w:t>.</w:t>
        </w:r>
        <w:r>
          <w:rPr>
            <w:color w:val="0000ff"/>
            <w:sz w:val="28"/>
            <w:szCs w:val="28"/>
            <w:u w:color="auto" w:val="single"/>
            <w:lang w:val="en-us"/>
          </w:rPr>
          <w:t>ru</w:t>
        </w:r>
      </w:hyperlink>
      <w:r>
        <w:rPr>
          <w:sz w:val="28"/>
          <w:szCs w:val="28"/>
        </w:rPr>
        <w:t>.</w:t>
      </w:r>
      <w:r/>
    </w:p>
    <w:p>
      <w:pPr>
        <w:spacing w:after="60" w:line="276" w:lineRule="auto"/>
        <w:jc w:val="both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</w:pPr>
      <w:r>
        <w:rPr>
          <w:sz w:val="28"/>
          <w:szCs w:val="28"/>
        </w:rPr>
        <w:t xml:space="preserve">    4. Контроль за исполнением постановления возложить на заместителя главы городского округа (по социальным вопросам) О.Н. Овчинникову.  </w:t>
      </w:r>
      <w:r/>
    </w:p>
    <w:p>
      <w:pPr>
        <w:spacing w:after="60"/>
        <w:jc w:val="both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5" behindDoc="1" locked="0" layoutInCell="0" hidden="0" allowOverlap="1">
            <wp:simplePos x="0" y="0"/>
            <wp:positionH relativeFrom="page">
              <wp:posOffset>3467100</wp:posOffset>
            </wp:positionH>
            <wp:positionV relativeFrom="page">
              <wp:posOffset>1882775</wp:posOffset>
            </wp:positionV>
            <wp:extent cx="1390650" cy="1390650"/>
            <wp:effectExtent l="0" t="0" r="0" b="0"/>
            <wp:wrapNone/>
            <wp:docPr id="5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1"/>
                    <pic:cNvPicPr>
                      <a:picLocks noChangeAspect="1"/>
                      <a:extLst>
                        <a:ext uri="sm">
                          <sm:smNativeData xmlns:sm="sm" val="SMDATA_16_kYzI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NAAAAAAAAAAAAAAAAAAAAAQAAAAAAAABUFQAAAQAAAAAAAACVCwAAjggAAI4IAAABAAAAVBUAAJULAAAoAAAACAAAAAEAAAABAAAA"/>
                        </a:ext>
                      </a:extLst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>Глава городского округа</w:t>
        <w:tab/>
        <w:tab/>
        <w:tab/>
        <w:tab/>
        <w:t xml:space="preserve">                              Д.В. Ажичаков</w:t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/>
        <w:jc w:val="right"/>
      </w:pPr>
      <w:r>
        <w:rPr>
          <w:sz w:val="28"/>
          <w:szCs w:val="28"/>
        </w:rPr>
        <w:t>Приложение 1</w:t>
      </w:r>
      <w:r/>
    </w:p>
    <w:p>
      <w:pPr>
        <w:spacing/>
        <w:jc w:val="right"/>
      </w:pPr>
      <w:r>
        <w:rPr>
          <w:sz w:val="28"/>
          <w:szCs w:val="28"/>
        </w:rPr>
        <w:t xml:space="preserve">к Постановлению </w:t>
      </w:r>
      <w:r/>
    </w:p>
    <w:p>
      <w:pPr>
        <w:spacing w:after="60"/>
        <w:jc w:val="right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</w:pPr>
      <w:r>
        <w:rPr>
          <w:sz w:val="28"/>
          <w:szCs w:val="28"/>
        </w:rPr>
        <w:t xml:space="preserve">администрации </w:t>
      </w:r>
      <w:r/>
    </w:p>
    <w:p>
      <w:pPr>
        <w:spacing w:after="60"/>
        <w:jc w:val="right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</w:pPr>
      <w:r>
        <w:rPr>
          <w:sz w:val="28"/>
          <w:szCs w:val="28"/>
        </w:rPr>
        <w:t xml:space="preserve">Анжеро-Судженского </w:t>
      </w:r>
      <w:r/>
    </w:p>
    <w:p>
      <w:pPr>
        <w:spacing w:after="60"/>
        <w:jc w:val="right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</w:pPr>
      <w:r>
        <w:rPr>
          <w:sz w:val="28"/>
          <w:szCs w:val="28"/>
        </w:rPr>
        <w:t xml:space="preserve">городского округа    </w:t>
      </w:r>
      <w:r>
        <w:rPr>
          <w:b/>
          <w:bCs/>
          <w:sz w:val="28"/>
          <w:szCs w:val="28"/>
        </w:rPr>
        <w:t xml:space="preserve"> </w:t>
      </w:r>
      <w:r/>
    </w:p>
    <w:p>
      <w:pPr>
        <w:spacing w:after="60"/>
        <w:jc w:val="center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От 09 октября 2026г. № 775</w:t>
      </w:r>
    </w:p>
    <w:p>
      <w:pPr>
        <w:spacing/>
        <w:jc w:val="center"/>
      </w:pPr>
      <w:r>
        <w:rPr>
          <w:b/>
          <w:sz w:val="28"/>
          <w:szCs w:val="28"/>
        </w:rPr>
        <w:t xml:space="preserve">Состав </w:t>
      </w:r>
      <w:r/>
    </w:p>
    <w:p>
      <w:pPr>
        <w:spacing w:after="60"/>
        <w:jc w:val="center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</w:pPr>
      <w:r>
        <w:rPr>
          <w:b/>
          <w:sz w:val="28"/>
          <w:szCs w:val="28"/>
        </w:rPr>
        <w:t xml:space="preserve"> межведомственного консилиума по принятию решений обоснованности помещения детей, а также продления срока пребывания детей в учреждениях социального обслуживания семьи и детей, учреждениях здравоохранения, организациях для детей-сирот и детей, оставшихся без попечения родителей на территории</w:t>
      </w:r>
      <w:r/>
    </w:p>
    <w:p>
      <w:pPr>
        <w:ind w:firstLine="420"/>
        <w:spacing w:after="60"/>
        <w:jc w:val="center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Анжеро-Судженского городского округа</w:t>
      </w:r>
    </w:p>
    <w:p>
      <w:pPr>
        <w: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Style w:val="TableGrid"/>
        <w:name w:val="Таблица4"/>
        <w:tabOrder w:val="0"/>
        <w:jc w:val="left"/>
        <w:tblInd w:w="0" w:type="dxa"/>
        <w:tblW w:w="9601" w:type="dxa"/>
        <w:tblLook w:val="04A0" w:firstRow="1" w:lastRow="0" w:firstColumn="1" w:lastColumn="0" w:noHBand="0" w:noVBand="1"/>
      </w:tblPr>
      <w:tblGrid>
        <w:gridCol w:w="6919"/>
        <w:gridCol w:w="2682"/>
      </w:tblGrid>
      <w:tr>
        <w:trPr>
          <w:cantSplit w:val="0"/>
          <w:trHeight w:val="0" w:hRule="auto"/>
        </w:trPr>
        <w:tc>
          <w:tcPr>
            <w:tcW w:w="6919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 xml:space="preserve">Овчинникова Ольга Николаевна  </w:t>
            </w:r>
            <w:r/>
          </w:p>
        </w:tc>
        <w:tc>
          <w:tcPr>
            <w:tcW w:w="2682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заместитель главы Анжеро-Судженского городского округа, председатель межведомственного консилиума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6919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Семкина Марина Викторовна</w:t>
            </w:r>
          </w:p>
        </w:tc>
        <w:tc>
          <w:tcPr>
            <w:tcW w:w="2682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начальник управления образования администрации Анжеро-Судженского городского округа,</w:t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заместитель председателя межведомственного консилиума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6919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</w:pPr>
            <w:r/>
          </w:p>
        </w:tc>
        <w:tc>
          <w:tcPr>
            <w:tcW w:w="2682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</w:pPr>
            <w:r/>
          </w:p>
        </w:tc>
      </w:tr>
      <w:tr>
        <w:trPr>
          <w:cantSplit w:val="0"/>
          <w:trHeight w:val="0" w:hRule="auto"/>
        </w:trPr>
        <w:tc>
          <w:tcPr>
            <w:tcW w:w="9601" w:type="dxa"/>
            <w:gridSpan w:val="2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Власенко Ксения Олеговна                                                    главный  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специалист  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комиссии по  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делам   </w:t>
            </w:r>
          </w:p>
          <w:p>
            <w:pPr>
              <w:ind w:right="-393"/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несовершеннолетних  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и защите их прав,                    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секретарь 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межведомственного                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консилиума 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</w:t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Члены консилиума:</w:t>
            </w:r>
            <w:r/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</w:tc>
      </w:tr>
      <w:tr>
        <w:trPr>
          <w:cantSplit w:val="0"/>
          <w:trHeight w:val="0" w:hRule="auto"/>
        </w:trPr>
        <w:tc>
          <w:tcPr>
            <w:tcW w:w="6919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Кашич Максим Анатольевич</w:t>
            </w:r>
          </w:p>
        </w:tc>
        <w:tc>
          <w:tcPr>
            <w:tcW w:w="2682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прокурор города Анжеро - Судженска (по согласованию)</w:t>
            </w:r>
          </w:p>
        </w:tc>
      </w:tr>
      <w:tr>
        <w:trPr>
          <w:cantSplit w:val="0"/>
          <w:trHeight w:val="960" w:hRule="atLeast"/>
        </w:trPr>
        <w:tc>
          <w:tcPr>
            <w:tcW w:w="6919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Исаева Ирина Валерьевна</w:t>
            </w:r>
            <w:r/>
          </w:p>
        </w:tc>
        <w:tc>
          <w:tcPr>
            <w:tcW w:w="2682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начальник отдела опеки и попечительства      управления образования администрации Анжеро-Судженского городского округа</w:t>
            </w:r>
            <w:r/>
          </w:p>
        </w:tc>
      </w:tr>
      <w:tr>
        <w:trPr>
          <w:cantSplit w:val="0"/>
          <w:trHeight w:val="1349" w:hRule="atLeast"/>
        </w:trPr>
        <w:tc>
          <w:tcPr>
            <w:tcW w:w="6919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sz w:val="28"/>
                <w:szCs w:val="28"/>
              </w:rPr>
              <w:t>Юндина Насиха Рухулловна</w:t>
            </w:r>
            <w:r/>
          </w:p>
        </w:tc>
        <w:tc>
          <w:tcPr>
            <w:tcW w:w="2682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депутат Совета народных депутатов городского округа, директор муниципального</w:t>
            </w:r>
            <w:r/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казенного учреждения Анжеро-Судженского</w:t>
            </w:r>
            <w:r/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городского округа «Центр социальной помощи семье и детям»</w:t>
            </w:r>
            <w:r/>
          </w:p>
          <w:p>
            <w:pPr>
              <w:widowControl w:val="0"/>
            </w:pPr>
            <w:r/>
          </w:p>
        </w:tc>
      </w:tr>
      <w:tr>
        <w:trPr>
          <w:cantSplit w:val="0"/>
          <w:trHeight w:val="0" w:hRule="auto"/>
        </w:trPr>
        <w:tc>
          <w:tcPr>
            <w:tcW w:w="6919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Устюгова Оксана Васильевна </w:t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Кондрицкий Александр Владимирович</w:t>
            </w:r>
          </w:p>
        </w:tc>
        <w:tc>
          <w:tcPr>
            <w:tcW w:w="2682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начальника отдела – начальник отделения (отделение по делам несовершеннолетних) отдела участковых уполномоченных полиции и по делам несовершеннолетних отдела МВД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России по Анжеро-Судженскому городскому округу (подполковник полиции)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начальник управления социальной защиты населения администрации Анжеро-Судженского городского округа</w:t>
            </w:r>
          </w:p>
        </w:tc>
      </w:tr>
      <w:tr>
        <w:trPr>
          <w:cantSplit w:val="0"/>
          <w:trHeight w:val="0" w:hRule="auto"/>
        </w:trPr>
        <w:tc>
          <w:tcPr>
            <w:tcW w:w="6919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 xml:space="preserve">Косьяненко Ирина Константиновна    </w:t>
            </w:r>
            <w:r/>
          </w:p>
        </w:tc>
        <w:tc>
          <w:tcPr>
            <w:tcW w:w="2682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психолог государственного бюджетного учреждения здравоохранения «Анжеро-Судженский психоневрологический</w:t>
            </w:r>
            <w:r/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диспансер» (по согласованию)</w:t>
            </w:r>
            <w:r/>
          </w:p>
        </w:tc>
      </w:tr>
      <w:tr>
        <w:trPr>
          <w:cantSplit w:val="0"/>
          <w:trHeight w:val="0" w:hRule="auto"/>
        </w:trPr>
        <w:tc>
          <w:tcPr>
            <w:tcW w:w="6919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Бурматова Елена Александровна</w:t>
            </w:r>
            <w:r/>
          </w:p>
        </w:tc>
        <w:tc>
          <w:tcPr>
            <w:tcW w:w="2682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комитета по физической культуре, спорту и молодёжной политике администрации Анжеро-Судженского городского округа </w:t>
            </w:r>
          </w:p>
        </w:tc>
      </w:tr>
      <w:tr>
        <w:trPr>
          <w:cantSplit w:val="0"/>
          <w:trHeight w:val="0" w:hRule="auto"/>
        </w:trPr>
        <w:tc>
          <w:tcPr>
            <w:tcW w:w="6919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Белоусова Оксана Фёдоровна  </w:t>
              <w:tab/>
              <w:t xml:space="preserve">                          </w:t>
            </w:r>
          </w:p>
          <w:p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tbl>
            <w:tblPr>
              <w:tblStyle w:val="TableGrid"/>
              <w:name w:val="Таблица3"/>
              <w:tabOrder w:val="0"/>
              <w:jc w:val="left"/>
              <w:tblInd w:w="0" w:type="dxa"/>
              <w:tblW w:w="9454" w:type="dxa"/>
              <w:tblLook w:val="04A0" w:firstRow="1" w:lastRow="0" w:firstColumn="1" w:lastColumn="0" w:noHBand="0" w:noVBand="1"/>
            </w:tblPr>
            <w:tblGrid>
              <w:gridCol w:w="4635"/>
              <w:gridCol w:w="4819"/>
            </w:tblGrid>
            <w:tr>
              <w:trPr>
                <w:cantSplit w:val="0"/>
                <w:trHeight w:val="0" w:hRule="auto"/>
              </w:trPr>
              <w:tc>
                <w:tcPr>
                  <w:tcW w:w="4635" w:type="dxa"/>
                  <w:tcBorders>
                    <w:top w:val="nil" w:sz="0" w:space="0" w:color="000000" tmln="20, 20, 20, 0, 0"/>
                    <w:left w:val="nil" w:sz="0" w:space="0" w:color="000000" tmln="20, 20, 20, 0, 0"/>
                    <w:bottom w:val="nil" w:sz="0" w:space="0" w:color="000000" tmln="20, 20, 20, 0, 0"/>
                    <w:right w:val="nil" w:sz="0" w:space="0" w:color="000000" tmln="20, 20, 20, 0, 0"/>
                  </w:tcBorders>
                  <w:tmTcPr id="1791528081" protected="0"/>
                </w:tcPr>
                <w:p>
                  <w:pPr>
                    <w:widowControl w:val="0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  <w:p>
                  <w:pPr>
                    <w:widowControl w:val="0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  <w:p>
                  <w:pPr>
                    <w:widowControl w:val="0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  <w:p>
                  <w:pPr>
                    <w:widowControl w:val="0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  <w:p>
                  <w:pPr>
                    <w:widowControl w:val="0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  <w:p>
                  <w:pPr>
                    <w:widowControl w:val="0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  <w:p>
                  <w:pPr>
                    <w:widowControl w:val="0"/>
                  </w:pPr>
                  <w:r>
                    <w:rPr>
                      <w:bCs/>
                      <w:sz w:val="28"/>
                      <w:szCs w:val="28"/>
                    </w:rPr>
                    <w:t>Чемякина Марина Геннадьевна</w:t>
                  </w:r>
                  <w:r/>
                </w:p>
              </w:tc>
              <w:tc>
                <w:tcPr>
                  <w:tcW w:w="4819" w:type="dxa"/>
                  <w:tcBorders>
                    <w:top w:val="nil" w:sz="0" w:space="0" w:color="000000" tmln="20, 20, 20, 0, 0"/>
                    <w:left w:val="nil" w:sz="0" w:space="0" w:color="000000" tmln="20, 20, 20, 0, 0"/>
                    <w:bottom w:val="nil" w:sz="0" w:space="0" w:color="000000" tmln="20, 20, 20, 0, 0"/>
                    <w:right w:val="nil" w:sz="0" w:space="0" w:color="000000" tmln="20, 20, 20, 0, 0"/>
                  </w:tcBorders>
                  <w:tmTcPr id="1791528081" protected="0"/>
                </w:tcPr>
                <w:p>
                  <w:pPr>
                    <w:widowControl w:val="0"/>
                  </w:pPr>
                  <w:r/>
                </w:p>
                <w:p>
                  <w:pPr>
                    <w:widowControl w:val="0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  <w:p>
                  <w:pPr>
                    <w:widowControl w:val="0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  <w:p>
                  <w:pPr>
                    <w:widowControl w:val="0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  <w:p>
                  <w:pPr>
                    <w:widowControl w:val="0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  <w:p>
                  <w:pPr>
                    <w:widowControl w:val="0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  <w:p>
                  <w:pPr>
                    <w:widowControl w:val="0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  <w:p>
                  <w:pPr>
                    <w:widowControl w:val="0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</w:r>
                </w:p>
                <w:p>
                  <w:pPr>
                    <w:widowControl w:val="0"/>
                  </w:pPr>
                  <w:r/>
                </w:p>
              </w:tc>
            </w:tr>
          </w:tbl>
          <w:p>
            <w:pPr>
              <w:widowControl w:val="0"/>
            </w:pPr>
            <w:r/>
          </w:p>
        </w:tc>
        <w:tc>
          <w:tcPr>
            <w:tcW w:w="2682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</w:pPr>
            <w:r/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врача по лечебной работе государственного автономного учреждения здравоохранения «Анжеро-Судженская городская больница им. А.А. Гороховского» (по согласованию)</w:t>
            </w: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начальник правового управления администрации Анжеро-Судженского</w:t>
            </w:r>
            <w:r/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городского округа</w:t>
            </w:r>
            <w:r/>
          </w:p>
        </w:tc>
      </w:tr>
    </w:tbl>
    <w:p>
      <w:r/>
    </w:p>
    <w:tbl>
      <w:tblPr>
        <w:tblStyle w:val="TableGrid"/>
        <w:name w:val="Таблица5"/>
        <w:tabOrder w:val="0"/>
        <w:jc w:val="left"/>
        <w:tblInd w:w="0" w:type="dxa"/>
        <w:tblW w:w="9601" w:type="dxa"/>
        <w:tblLook w:val="04A0" w:firstRow="1" w:lastRow="0" w:firstColumn="1" w:lastColumn="0" w:noHBand="0" w:noVBand="1"/>
      </w:tblPr>
      <w:tblGrid>
        <w:gridCol w:w="4513"/>
        <w:gridCol w:w="5088"/>
      </w:tblGrid>
      <w:tr>
        <w:trPr>
          <w:cantSplit w:val="0"/>
          <w:trHeight w:val="0" w:hRule="auto"/>
        </w:trPr>
        <w:tc>
          <w:tcPr>
            <w:tcW w:w="4513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</w:pPr>
            <w:r>
              <w:rPr>
                <w:bCs/>
                <w:sz w:val="28"/>
                <w:szCs w:val="28"/>
              </w:rPr>
              <w:t>Вавилова Анна Юрьевна</w:t>
            </w:r>
            <w:r/>
          </w:p>
        </w:tc>
        <w:tc>
          <w:tcPr>
            <w:tcW w:w="5088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1528081" protected="0"/>
          </w:tcPr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ответственный   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секретарь   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комиссии по  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делам                                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несовершеннолетних     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и защите их прав</w:t>
            </w:r>
          </w:p>
          <w:p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</w:t>
            </w:r>
          </w:p>
        </w:tc>
      </w:tr>
    </w:tbl>
    <w:p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276" w:lineRule="auto"/>
        <w:jc w:val="right"/>
      </w:pPr>
      <w:r>
        <w:rPr>
          <w:sz w:val="28"/>
          <w:szCs w:val="28"/>
        </w:rPr>
        <w:t>Приложение 2</w:t>
      </w:r>
      <w:r/>
    </w:p>
    <w:p>
      <w:pPr>
        <w:spacing/>
        <w:jc w:val="right"/>
      </w:pPr>
      <w:r>
        <w:rPr>
          <w:sz w:val="28"/>
          <w:szCs w:val="28"/>
        </w:rPr>
        <w:t xml:space="preserve">к Постановлению </w:t>
      </w:r>
      <w:r/>
    </w:p>
    <w:p>
      <w:pPr>
        <w:spacing w:after="60"/>
        <w:jc w:val="right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</w:pPr>
      <w:r>
        <w:rPr>
          <w:sz w:val="28"/>
          <w:szCs w:val="28"/>
        </w:rPr>
        <w:t xml:space="preserve">администрации </w:t>
      </w:r>
      <w:r/>
    </w:p>
    <w:p>
      <w:pPr>
        <w:spacing w:after="60"/>
        <w:jc w:val="right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</w:pPr>
      <w:r>
        <w:rPr>
          <w:sz w:val="28"/>
          <w:szCs w:val="28"/>
        </w:rPr>
        <w:t xml:space="preserve">Анжеро-Судженского </w:t>
      </w:r>
      <w:r/>
    </w:p>
    <w:p>
      <w:pPr>
        <w:spacing w:after="60"/>
        <w:jc w:val="right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</w:pPr>
      <w:r>
        <w:rPr>
          <w:sz w:val="28"/>
          <w:szCs w:val="28"/>
        </w:rPr>
        <w:t xml:space="preserve">городского округа    </w:t>
      </w:r>
      <w:r>
        <w:rPr>
          <w:b/>
          <w:bCs/>
          <w:sz w:val="28"/>
          <w:szCs w:val="28"/>
        </w:rPr>
        <w:t xml:space="preserve"> </w:t>
      </w:r>
      <w:r/>
    </w:p>
    <w:p>
      <w:pPr>
        <w:spacing w:after="60"/>
        <w:jc w:val="center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</w:pPr>
      <w:r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b/>
          <w:bCs/>
          <w:sz w:val="28"/>
          <w:szCs w:val="28"/>
        </w:rPr>
        <w:t xml:space="preserve">09 октября 2026г. № 775                                                                                            </w:t>
      </w:r>
      <w:r/>
    </w:p>
    <w:p>
      <w:pPr>
        <w:spacing w:after="60"/>
        <w:jc w:val="right"/>
        <w:widowControl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6553856, 16777215, 1677721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spacing w:line="276" w:lineRule="auto"/>
        <w:jc w:val="center"/>
      </w:pPr>
      <w:r>
        <w:rPr>
          <w:b/>
          <w:bCs/>
          <w:sz w:val="28"/>
          <w:szCs w:val="28"/>
        </w:rPr>
        <w:t xml:space="preserve"> Порядок</w:t>
      </w:r>
      <w:r/>
    </w:p>
    <w:p>
      <w:pPr>
        <w:spacing w:line="276" w:lineRule="auto"/>
        <w:jc w:val="center"/>
      </w:pPr>
      <w:r>
        <w:rPr>
          <w:b/>
          <w:bCs/>
          <w:sz w:val="28"/>
          <w:szCs w:val="28"/>
        </w:rPr>
        <w:t>работы межведомственного консилиума муниципального образования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>1.     Общие положения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>1.1.</w:t>
      </w:r>
      <w:r>
        <w:rPr>
          <w:sz w:val="28"/>
          <w:szCs w:val="28"/>
        </w:rPr>
        <w:t xml:space="preserve">  Межведомственный консилиум муниципального образования (Далее — МК) является одной из форм взаимодействия субъектов профилактики муниципальных образований региона, направленного на оценку ситуации и принятие решений обоснованности помещения детей, а также продления срока пребывания в организациях для детей-сирот и детей, оставшихся без попечения родителей , на территории Анжеро-Судженского городского округа Кемеровской области — Кузбасса создается в целях реализации специального проекта «Вызов» стратегической программы «Дети в семье» Уполномоченного при Президенте Российской Федерации по правам ребенка Львовой-Беловой М.А.</w:t>
      </w:r>
      <w:r/>
    </w:p>
    <w:p>
      <w:pPr>
        <w:spacing w:line="276" w:lineRule="auto"/>
        <w:jc w:val="both"/>
      </w:pPr>
      <w:r>
        <w:rPr>
          <w:b/>
          <w:bCs/>
          <w:color w:val="000000"/>
          <w:sz w:val="28"/>
          <w:szCs w:val="28"/>
        </w:rPr>
        <w:t xml:space="preserve">1.2.  </w:t>
      </w:r>
      <w:r>
        <w:rPr>
          <w:color w:val="000000"/>
          <w:sz w:val="28"/>
          <w:szCs w:val="28"/>
        </w:rPr>
        <w:t xml:space="preserve">Настоящее положение разработано в соответствии с Конституцией РФ, Федеральным законом от 24 июня 1999 года No 120-ФЗ «Об основах системы профилактики безнадзорности и правонарушений несовершеннолетних»; иными законами и нормативными актами Российской Федерации, нормативными правовыми актами Кемеровской области — Кузбасса и настоящим Положением  </w:t>
      </w:r>
      <w:r>
        <w:rPr>
          <w:bCs/>
          <w:color w:val="000000"/>
          <w:sz w:val="28"/>
          <w:szCs w:val="28"/>
        </w:rPr>
        <w:t>межведомственного консилиума по принятию решений обоснованности помещения детей, а также продления срока пребывания детей в учреждениях социального обслуживания семьи и детей, учреждениях здравоохранения, организациях для детей-сирот и детей, оставшихся без попечения родителей на территории Анжеро-Судженского городского округа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>2. Задачами МК являются: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 xml:space="preserve">2.1. </w:t>
      </w:r>
      <w:r>
        <w:rPr>
          <w:sz w:val="28"/>
          <w:szCs w:val="28"/>
        </w:rPr>
        <w:t>Сохранить или оперативно восстановить для ребенка ситуацию проживания в семье (приоритетно кровной) в случаях возникновения трудных жизненных обстоятельств, появления риска помещения в организации для детей-сирот, в учреждения здравоохранения и социального обслуживания семьи и детей.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>2.2.</w:t>
      </w:r>
      <w:r>
        <w:rPr>
          <w:sz w:val="28"/>
          <w:szCs w:val="28"/>
        </w:rPr>
        <w:t xml:space="preserve"> Формировать единое профессиональное поле деятельности специалистов, создать общее коммуникативное пространство и постоянный взаимообмен информацией.</w:t>
      </w:r>
      <w:r/>
    </w:p>
    <w:p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 xml:space="preserve">2.3. </w:t>
      </w:r>
      <w:r>
        <w:rPr>
          <w:sz w:val="28"/>
          <w:szCs w:val="28"/>
        </w:rPr>
        <w:t>Содействовать развитию новых и совершенствовать существующие социальные услуги для семей с детьми, направленные на профилактику социального сиротства.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>2.4.</w:t>
      </w:r>
      <w:r>
        <w:rPr>
          <w:sz w:val="28"/>
          <w:szCs w:val="28"/>
        </w:rPr>
        <w:t xml:space="preserve"> Планировать и согласовывать действия специалистов и семьи, осуществлять координацию действий специалистов в проблемных и критических ситуациях.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>3. Структура и организация деятельности межведомственного консилиума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 xml:space="preserve">3.1. </w:t>
      </w:r>
      <w:r>
        <w:rPr>
          <w:sz w:val="28"/>
          <w:szCs w:val="28"/>
        </w:rPr>
        <w:t xml:space="preserve">В состав </w:t>
      </w:r>
      <w:r>
        <w:rPr>
          <w:color w:val="000000"/>
          <w:sz w:val="28"/>
          <w:szCs w:val="28"/>
        </w:rPr>
        <w:t>Межведомственного консилиума входят: председатель, заместитель председателя, секретарь и иные.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>3.2.</w:t>
      </w:r>
      <w:r>
        <w:rPr>
          <w:sz w:val="28"/>
          <w:szCs w:val="28"/>
        </w:rPr>
        <w:t xml:space="preserve">   На заседания консилиума могут приглашаться иные специалисты, по</w:t>
      </w:r>
      <w:r/>
    </w:p>
    <w:p>
      <w:pPr>
        <w:spacing w:line="276" w:lineRule="auto"/>
        <w:jc w:val="both"/>
      </w:pPr>
      <w:r>
        <w:rPr>
          <w:sz w:val="28"/>
          <w:szCs w:val="28"/>
        </w:rPr>
        <w:t>конкретному случаю.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>3.3.</w:t>
      </w:r>
      <w:r>
        <w:rPr>
          <w:sz w:val="28"/>
          <w:szCs w:val="28"/>
        </w:rPr>
        <w:t xml:space="preserve">   Специалисты, включенные в муниципальный МК, выполняют работу в</w:t>
      </w:r>
      <w:r/>
    </w:p>
    <w:p>
      <w:pPr>
        <w:spacing w:line="276" w:lineRule="auto"/>
        <w:jc w:val="both"/>
      </w:pPr>
      <w:r>
        <w:rPr>
          <w:sz w:val="28"/>
          <w:szCs w:val="28"/>
        </w:rPr>
        <w:t>рамках основного рабочего времени.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>3.4.</w:t>
      </w:r>
      <w:r>
        <w:rPr>
          <w:sz w:val="28"/>
          <w:szCs w:val="28"/>
        </w:rPr>
        <w:t xml:space="preserve"> Отбор случаев для рассмотрения на консилиуме осуществляется секретарем МК.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>4. Основные функции межведомственного консилиума</w:t>
      </w:r>
      <w:r/>
    </w:p>
    <w:p>
      <w:pPr>
        <w:spacing w:line="276" w:lineRule="auto"/>
        <w:jc w:val="both"/>
      </w:pPr>
      <w:r>
        <w:rPr>
          <w:sz w:val="28"/>
          <w:szCs w:val="28"/>
        </w:rPr>
        <w:tab/>
        <w:t>Функциями межведомственного консилиума являются:</w:t>
      </w:r>
      <w:r/>
    </w:p>
    <w:p>
      <w:pPr>
        <w:spacing w:line="276" w:lineRule="auto"/>
        <w:jc w:val="both"/>
      </w:pPr>
      <w:r>
        <w:rPr>
          <w:sz w:val="28"/>
          <w:szCs w:val="28"/>
        </w:rPr>
        <w:tab/>
        <w:t>регулирование межведомственного взаимодействия органов, служб и учреждений, действующих в системе профилактики социального сиротства, в решении задач преодоления детского и семейного неблагополучия и социального сиротства;</w:t>
      </w:r>
      <w:r/>
    </w:p>
    <w:p>
      <w:pPr>
        <w:spacing w:line="276" w:lineRule="auto"/>
        <w:jc w:val="both"/>
      </w:pPr>
      <w:r>
        <w:rPr>
          <w:sz w:val="28"/>
          <w:szCs w:val="28"/>
        </w:rPr>
        <w:tab/>
        <w:t>принятие коллегиальных решений по отдельным случаям, требующим индивидуального подхода.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>5. Основные права межведомственного консилиума</w:t>
      </w:r>
      <w:r/>
    </w:p>
    <w:p>
      <w:pPr>
        <w:spacing w:line="276" w:lineRule="auto"/>
        <w:jc w:val="both"/>
      </w:pPr>
      <w:r>
        <w:rPr>
          <w:sz w:val="28"/>
          <w:szCs w:val="28"/>
        </w:rPr>
        <w:t xml:space="preserve">     Межведомственный консилиум для выполнения возложенных на него основных задач и функций имеет право:</w:t>
      </w:r>
      <w:r/>
    </w:p>
    <w:p>
      <w:pPr>
        <w:spacing w:line="276" w:lineRule="auto"/>
        <w:jc w:val="both"/>
      </w:pPr>
      <w:r>
        <w:rPr>
          <w:sz w:val="28"/>
          <w:szCs w:val="28"/>
        </w:rPr>
        <w:tab/>
        <w:t>запрашивать в установленном порядке от исполнительных органов Кемеровской области – Кузбасса, органов местного самоуправления муниципальных образований Кемеровской области – Кузбасса, организаций для детей-сирот, учреждений здравоохранения и социальной сферы необходимые материалы и информацию по вопросам, относящимся к компетенции межведомственного консилиума;</w:t>
      </w:r>
      <w:r/>
    </w:p>
    <w:p>
      <w:pPr>
        <w:spacing w:line="276" w:lineRule="auto"/>
        <w:jc w:val="both"/>
      </w:pPr>
      <w:r>
        <w:rPr>
          <w:sz w:val="28"/>
          <w:szCs w:val="28"/>
        </w:rPr>
        <w:tab/>
        <w:t>заслушивать на заседании межведомственного консилиума информацию представителей органов опеки и попечительства, комиссии по делам несовершеннолетних и защите их прав, учреждений здравоохранения и социальной сферы, общественных объединений и иных организаций по вопросам, относящимся к компетенции межведомственного консилиума.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>6. Порядок подготовки и проведения Консилиума</w:t>
      </w:r>
      <w:r/>
    </w:p>
    <w:p>
      <w:pPr>
        <w:pStyle w:val="para2"/>
      </w:pPr>
      <w:r>
        <w:rPr>
          <w:b/>
          <w:bCs/>
          <w:sz w:val="28"/>
          <w:szCs w:val="28"/>
        </w:rPr>
        <w:t xml:space="preserve">6.1. </w:t>
      </w:r>
      <w:r>
        <w:rPr>
          <w:sz w:val="28"/>
          <w:szCs w:val="28"/>
        </w:rPr>
        <w:t>Заседания муниципального МК проводятся под руководством председателя либо его заместителем.</w:t>
      </w:r>
      <w:r/>
    </w:p>
    <w:p>
      <w:pPr>
        <w:spacing w:line="276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</w:t>
      </w:r>
    </w:p>
    <w:p>
      <w:pPr>
        <w:spacing w:line="276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spacing w:line="276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spacing w:line="276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spacing w:line="276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spacing w:line="276" w:lineRule="auto"/>
        <w:jc w:val="both"/>
      </w:pP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Заседания Межведомственного консилиума проводятся по необходимости в формате очных встреч для реализации проекта «Вызов» в Кемеровской области – Кузбассе. 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  Заседание Межведомственного консилиума считается правомочным, если в нем принимает участие не менее половины представителей от общего числа членов, входящих в его состав.</w:t>
      </w:r>
      <w:r/>
    </w:p>
    <w:p>
      <w:pPr>
        <w:spacing w:line="276" w:lineRule="auto"/>
        <w:jc w:val="both"/>
      </w:pPr>
      <w:r>
        <w:rPr>
          <w:b/>
          <w:bCs/>
          <w:sz w:val="28"/>
          <w:szCs w:val="28"/>
        </w:rPr>
        <w:t xml:space="preserve">6.2.  </w:t>
      </w:r>
      <w:r>
        <w:rPr>
          <w:sz w:val="28"/>
          <w:szCs w:val="28"/>
        </w:rPr>
        <w:t>Решения Консилиума оформляются протоколом. Протокол Консилиума</w:t>
      </w:r>
      <w:r/>
    </w:p>
    <w:p>
      <w:pPr>
        <w:spacing w:line="276" w:lineRule="auto"/>
        <w:jc w:val="both"/>
      </w:pPr>
      <w:r>
        <w:rPr>
          <w:sz w:val="28"/>
          <w:szCs w:val="28"/>
        </w:rPr>
        <w:t>подшивается в папку, а также в реабилитационную карту несовершеннолетнего, личное дело семьи.</w:t>
      </w:r>
      <w:r/>
    </w:p>
    <w:p>
      <w:pPr>
        <w:spacing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7. Срок действия и порядок пересмотра Порядка</w:t>
      </w:r>
      <w:r>
        <w:rPr>
          <w:sz w:val="28"/>
          <w:szCs w:val="28"/>
        </w:rPr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7.1</w:t>
      </w:r>
      <w:r>
        <w:rPr>
          <w:sz w:val="28"/>
          <w:szCs w:val="28"/>
        </w:rPr>
        <w:t xml:space="preserve"> Срок действия Порядка не ограничен. Порядок действует до принятия нового. 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7.2 </w:t>
      </w:r>
      <w:r>
        <w:rPr>
          <w:sz w:val="28"/>
          <w:szCs w:val="28"/>
        </w:rPr>
        <w:t>Пересмотр Порядка осуществляется в случае изменения функций Межведомственного консилиума, а также в других случаях в соответствии с действующим законодательством Российской Федерации.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 w:line="276" w:lineRule="auto"/>
        <w:jc w:val="both"/>
      </w:pPr>
      <w:r/>
    </w:p>
    <w:p>
      <w:pPr>
        <w:spacing/>
        <w:jc w:val="right"/>
        <w:rPr>
          <w:b/>
          <w:bCs/>
        </w:rPr>
      </w:pPr>
      <w:r>
        <w:rPr>
          <w:b/>
          <w:bCs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455" w:top="142" w:right="850" w:bottom="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roman"/>
    <w:pitch w:val="default"/>
  </w:font>
  <w:font w:name="Calibri">
    <w:charset w:val="00"/>
    <w:family w:val="swiss"/>
    <w:pitch w:val="default"/>
  </w:font>
  <w:font w:name="PT Astra Serif">
    <w:charset w:val="00"/>
    <w:family w:val="roman"/>
    <w:pitch w:val="default"/>
  </w:font>
  <w:font w:name="Tahoma">
    <w:charset w:val="00"/>
    <w:family w:val="swiss"/>
    <w:pitch w:val="default"/>
  </w:font>
  <w:font w:name="Noto Sans Devanagari"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."/>
      <w:lvlJc w:val="left"/>
      <w:pPr>
        <w:ind w:left="420" w:hanging="0"/>
      </w:pPr>
    </w:lvl>
    <w:lvl w:ilvl="1">
      <w:start w:val="1"/>
      <w:numFmt w:val="decimal"/>
      <w:suff w:val="tab"/>
      <w:lvlText w:val="%1.%2"/>
      <w:lvlJc w:val="left"/>
      <w:pPr>
        <w:ind w:left="420" w:hanging="0"/>
      </w:pPr>
    </w:lvl>
    <w:lvl w:ilvl="2">
      <w:start w:val="1"/>
      <w:numFmt w:val="decimal"/>
      <w:suff w:val="tab"/>
      <w:lvlText w:val="%1.%2.%3"/>
      <w:lvlJc w:val="left"/>
      <w:pPr>
        <w:ind w:left="420" w:hanging="0"/>
      </w:pPr>
    </w:lvl>
    <w:lvl w:ilvl="3">
      <w:start w:val="1"/>
      <w:numFmt w:val="decimal"/>
      <w:suff w:val="tab"/>
      <w:lvlText w:val="%1.%2.%3.%4"/>
      <w:lvlJc w:val="left"/>
      <w:pPr>
        <w:ind w:left="420" w:hanging="0"/>
      </w:pPr>
    </w:lvl>
    <w:lvl w:ilvl="4">
      <w:start w:val="1"/>
      <w:numFmt w:val="decimal"/>
      <w:suff w:val="tab"/>
      <w:lvlText w:val="%1.%2.%3.%4.%5"/>
      <w:lvlJc w:val="left"/>
      <w:pPr>
        <w:ind w:left="420" w:hanging="0"/>
      </w:pPr>
    </w:lvl>
    <w:lvl w:ilvl="5">
      <w:start w:val="1"/>
      <w:numFmt w:val="decimal"/>
      <w:suff w:val="tab"/>
      <w:lvlText w:val="%1.%2.%3.%4.%5.%6"/>
      <w:lvlJc w:val="left"/>
      <w:pPr>
        <w:ind w:left="420" w:hanging="0"/>
      </w:pPr>
    </w:lvl>
    <w:lvl w:ilvl="6">
      <w:start w:val="1"/>
      <w:numFmt w:val="decimal"/>
      <w:suff w:val="tab"/>
      <w:lvlText w:val="%1.%2.%3.%4.%5.%6.%7"/>
      <w:lvlJc w:val="left"/>
      <w:pPr>
        <w:ind w:left="420" w:hanging="0"/>
      </w:pPr>
    </w:lvl>
    <w:lvl w:ilvl="7">
      <w:start w:val="1"/>
      <w:numFmt w:val="decimal"/>
      <w:suff w:val="tab"/>
      <w:lvlText w:val="%1.%2.%3.%4.%5.%6.%7.%8"/>
      <w:lvlJc w:val="left"/>
      <w:pPr>
        <w:ind w:left="420" w:hanging="0"/>
      </w:pPr>
    </w:lvl>
    <w:lvl w:ilvl="8">
      <w:start w:val="1"/>
      <w:numFmt w:val="decimal"/>
      <w:suff w:val="tab"/>
      <w:lvlText w:val="%1.%2.%3.%4.%5.%6.%7.%8.%9"/>
      <w:lvlJc w:val="left"/>
      <w:pPr>
        <w:ind w:left="420" w:hanging="0"/>
      </w:pPr>
    </w:lvl>
  </w:abstractNum>
  <w:abstractNum w:abstractNumId="2">
    <w:multiLevelType w:val="hybridMultilevel"/>
    <w:name w:val="Нумерованный список 2"/>
    <w:lvl w:ilvl="0">
      <w:numFmt w:val="bullet"/>
      <w:suff w:val="tab"/>
      <w:lvlText w:val="·"/>
      <w:lvlJc w:val="left"/>
      <w:pPr>
        <w:ind w:left="502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222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942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662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382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102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822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542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262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8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4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6"/>
    <w:tmLastPosSelect w:val="0"/>
    <w:tmLastPosFrameIdx w:val="0"/>
    <w:tmLastPosCaret>
      <w:tmLastPosPgfIdx w:val="81"/>
      <w:tmLastPosIdx w:val="87"/>
    </w:tmLastPosCaret>
    <w:tmLastPosAnchor>
      <w:tmLastPosPgfIdx w:val="0"/>
      <w:tmLastPosIdx w:val="0"/>
    </w:tmLastPosAnchor>
    <w:tmLastPosTblRect w:left="0" w:top="0" w:right="0" w:bottom="0"/>
  </w:tmLastPos>
  <w:tmAppRevision w:date="1791528081" w:val="1222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uppressAutoHyphens/>
        <w:hyphenationLines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1">
    <w:name w:val="Title"/>
    <w:qFormat/>
    <w:basedOn w:val="para0"/>
    <w:next w:val="para2"/>
    <w:pPr>
      <w:spacing w:before="240" w:after="120"/>
      <w:keepNext/>
    </w:pPr>
    <w:rPr>
      <w:rFonts w:ascii="PT Astra Serif" w:hAnsi="PT Astra Serif" w:eastAsia="Tahoma" w:cs="Noto Sans Devanagari"/>
      <w:sz w:val="28"/>
      <w:szCs w:val="28"/>
    </w:rPr>
  </w:style>
  <w:style w:type="paragraph" w:styleId="para2">
    <w:name w:val="Body Text"/>
    <w:qFormat/>
    <w:basedOn w:val="para0"/>
    <w:pPr>
      <w:spacing w:after="140" w:line="276" w:lineRule="auto"/>
    </w:pPr>
  </w:style>
  <w:style w:type="paragraph" w:styleId="para3">
    <w:name w:val="List"/>
    <w:qFormat/>
    <w:basedOn w:val="para2"/>
    <w:rPr>
      <w:rFonts w:ascii="PT Astra Serif" w:hAnsi="PT Astra Serif" w:cs="Noto Sans Devanagari"/>
    </w:rPr>
  </w:style>
  <w:style w:type="paragraph" w:styleId="para4">
    <w:name w:val="caption"/>
    <w:qFormat/>
    <w:basedOn w:val="para0"/>
    <w:pPr>
      <w:spacing w:before="120" w:after="120"/>
      <w:suppressLineNumbers/>
    </w:pPr>
    <w:rPr>
      <w:rFonts w:ascii="PT Astra Serif" w:hAnsi="PT Astra Serif" w:cs="Noto Sans Devanagari"/>
      <w:i/>
      <w:iCs/>
    </w:rPr>
  </w:style>
  <w:style w:type="paragraph" w:styleId="para5">
    <w:name w:val="Index Heading"/>
    <w:qFormat/>
    <w:basedOn w:val="para0"/>
    <w:pPr>
      <w:suppressLineNumbers/>
    </w:pPr>
    <w:rPr>
      <w:rFonts w:ascii="PT Astra Serif" w:hAnsi="PT Astra Serif" w:cs="Noto Sans Devanagari"/>
    </w:rPr>
  </w:style>
  <w:style w:type="paragraph" w:styleId="para6">
    <w:name w:val="List Paragraph"/>
    <w:qFormat/>
    <w:basedOn w:val="para0"/>
    <w:pPr>
      <w:ind w:left="720"/>
      <w:contextualSpacing/>
    </w:pPr>
  </w:style>
  <w:style w:type="paragraph" w:styleId="para7">
    <w:name w:val="Balloon Text"/>
    <w:qFormat/>
    <w:basedOn w:val="para0"/>
    <w:rPr>
      <w:rFonts w:ascii="Tahoma" w:hAnsi="Tahoma" w:cs="Tahoma"/>
      <w:sz w:val="16"/>
      <w:szCs w:val="16"/>
    </w:rPr>
  </w:style>
  <w:style w:type="paragraph" w:styleId="para8" w:customStyle="1">
    <w:name w:val="Содержимое врезки"/>
    <w:qFormat/>
    <w:basedOn w:val="para0"/>
  </w:style>
  <w:style w:type="paragraph" w:styleId="para9" w:customStyle="1">
    <w:name w:val="Содержимое таблицы"/>
    <w:qFormat/>
    <w:basedOn w:val="para0"/>
    <w:pPr>
      <w:suppressLineNumbers/>
      <w:widowControl w:val="0"/>
    </w:pPr>
  </w:style>
  <w:style w:type="paragraph" w:styleId="para10" w:customStyle="1">
    <w:name w:val="Заголовок таблицы"/>
    <w:qFormat/>
    <w:basedOn w:val="para9"/>
    <w:pPr>
      <w:spacing/>
      <w:jc w:val="center"/>
    </w:pPr>
    <w:rPr>
      <w:b/>
      <w:bCs/>
    </w:rPr>
  </w:style>
  <w:style w:type="paragraph" w:styleId="para11" w:customStyle="1">
    <w:name w:val="Колонтитул"/>
    <w:qFormat/>
    <w:basedOn w:val="para0"/>
    <w:pPr>
      <w:suppressLineNumbers/>
      <w:tabs defTabSz="708">
        <w:tab w:val="center" w:pos="4677" w:leader="none"/>
        <w:tab w:val="right" w:pos="9355" w:leader="none"/>
      </w:tabs>
    </w:pPr>
  </w:style>
  <w:style w:type="paragraph" w:styleId="para12">
    <w:name w:val="Header"/>
    <w:qFormat/>
    <w:basedOn w:val="para11"/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Tahoma" w:hAnsi="Tahoma" w:eastAsia="Times New Roman" w:cs="Tahoma"/>
      <w:sz w:val="16"/>
      <w:szCs w:val="16"/>
      <w:lang w:eastAsia="ru-ru"/>
    </w:rPr>
  </w:style>
  <w:style w:type="character" w:styleId="char3" w:customStyle="1">
    <w:name w:val="Неразрешенное упоминание1"/>
    <w:basedOn w:val="char0"/>
    <w:rPr>
      <w:color w:val="605e5c"/>
      <w:shd w:val="clear" w:fill="e1dfdd"/>
    </w:rPr>
  </w:style>
  <w:style w:type="character" w:styleId="char4" w:customStyle="1">
    <w:name w:val="Символ нумерации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uppressAutoHyphens/>
        <w:hyphenationLines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1">
    <w:name w:val="Title"/>
    <w:qFormat/>
    <w:basedOn w:val="para0"/>
    <w:next w:val="para2"/>
    <w:pPr>
      <w:spacing w:before="240" w:after="120"/>
      <w:keepNext/>
    </w:pPr>
    <w:rPr>
      <w:rFonts w:ascii="PT Astra Serif" w:hAnsi="PT Astra Serif" w:eastAsia="Tahoma" w:cs="Noto Sans Devanagari"/>
      <w:sz w:val="28"/>
      <w:szCs w:val="28"/>
    </w:rPr>
  </w:style>
  <w:style w:type="paragraph" w:styleId="para2">
    <w:name w:val="Body Text"/>
    <w:qFormat/>
    <w:basedOn w:val="para0"/>
    <w:pPr>
      <w:spacing w:after="140" w:line="276" w:lineRule="auto"/>
    </w:pPr>
  </w:style>
  <w:style w:type="paragraph" w:styleId="para3">
    <w:name w:val="List"/>
    <w:qFormat/>
    <w:basedOn w:val="para2"/>
    <w:rPr>
      <w:rFonts w:ascii="PT Astra Serif" w:hAnsi="PT Astra Serif" w:cs="Noto Sans Devanagari"/>
    </w:rPr>
  </w:style>
  <w:style w:type="paragraph" w:styleId="para4">
    <w:name w:val="caption"/>
    <w:qFormat/>
    <w:basedOn w:val="para0"/>
    <w:pPr>
      <w:spacing w:before="120" w:after="120"/>
      <w:suppressLineNumbers/>
    </w:pPr>
    <w:rPr>
      <w:rFonts w:ascii="PT Astra Serif" w:hAnsi="PT Astra Serif" w:cs="Noto Sans Devanagari"/>
      <w:i/>
      <w:iCs/>
    </w:rPr>
  </w:style>
  <w:style w:type="paragraph" w:styleId="para5">
    <w:name w:val="Index Heading"/>
    <w:qFormat/>
    <w:basedOn w:val="para0"/>
    <w:pPr>
      <w:suppressLineNumbers/>
    </w:pPr>
    <w:rPr>
      <w:rFonts w:ascii="PT Astra Serif" w:hAnsi="PT Astra Serif" w:cs="Noto Sans Devanagari"/>
    </w:rPr>
  </w:style>
  <w:style w:type="paragraph" w:styleId="para6">
    <w:name w:val="List Paragraph"/>
    <w:qFormat/>
    <w:basedOn w:val="para0"/>
    <w:pPr>
      <w:ind w:left="720"/>
      <w:contextualSpacing/>
    </w:pPr>
  </w:style>
  <w:style w:type="paragraph" w:styleId="para7">
    <w:name w:val="Balloon Text"/>
    <w:qFormat/>
    <w:basedOn w:val="para0"/>
    <w:rPr>
      <w:rFonts w:ascii="Tahoma" w:hAnsi="Tahoma" w:cs="Tahoma"/>
      <w:sz w:val="16"/>
      <w:szCs w:val="16"/>
    </w:rPr>
  </w:style>
  <w:style w:type="paragraph" w:styleId="para8" w:customStyle="1">
    <w:name w:val="Содержимое врезки"/>
    <w:qFormat/>
    <w:basedOn w:val="para0"/>
  </w:style>
  <w:style w:type="paragraph" w:styleId="para9" w:customStyle="1">
    <w:name w:val="Содержимое таблицы"/>
    <w:qFormat/>
    <w:basedOn w:val="para0"/>
    <w:pPr>
      <w:suppressLineNumbers/>
      <w:widowControl w:val="0"/>
    </w:pPr>
  </w:style>
  <w:style w:type="paragraph" w:styleId="para10" w:customStyle="1">
    <w:name w:val="Заголовок таблицы"/>
    <w:qFormat/>
    <w:basedOn w:val="para9"/>
    <w:pPr>
      <w:spacing/>
      <w:jc w:val="center"/>
    </w:pPr>
    <w:rPr>
      <w:b/>
      <w:bCs/>
    </w:rPr>
  </w:style>
  <w:style w:type="paragraph" w:styleId="para11" w:customStyle="1">
    <w:name w:val="Колонтитул"/>
    <w:qFormat/>
    <w:basedOn w:val="para0"/>
    <w:pPr>
      <w:suppressLineNumbers/>
      <w:tabs defTabSz="708">
        <w:tab w:val="center" w:pos="4677" w:leader="none"/>
        <w:tab w:val="right" w:pos="9355" w:leader="none"/>
      </w:tabs>
    </w:pPr>
  </w:style>
  <w:style w:type="paragraph" w:styleId="para12">
    <w:name w:val="Header"/>
    <w:qFormat/>
    <w:basedOn w:val="para11"/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Tahoma" w:hAnsi="Tahoma" w:eastAsia="Times New Roman" w:cs="Tahoma"/>
      <w:sz w:val="16"/>
      <w:szCs w:val="16"/>
      <w:lang w:eastAsia="ru-ru"/>
    </w:rPr>
  </w:style>
  <w:style w:type="character" w:styleId="char3" w:customStyle="1">
    <w:name w:val="Неразрешенное упоминание1"/>
    <w:basedOn w:val="char0"/>
    <w:rPr>
      <w:color w:val="605e5c"/>
      <w:shd w:val="clear" w:fill="e1dfdd"/>
    </w:rPr>
  </w:style>
  <w:style w:type="character" w:styleId="char4" w:customStyle="1">
    <w:name w:val="Символ нумерации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jpeg"/><Relationship Id="rId9" Type="http://schemas.openxmlformats.org/officeDocument/2006/relationships/hyperlink" Target="http://www.anzhero.ru/" TargetMode="External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rev.1222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Райкова Е.П.</dc:creator>
  <cp:keywords/>
  <dc:description/>
  <cp:lastModifiedBy/>
  <cp:revision>4</cp:revision>
  <cp:lastPrinted>2026-09-28T03:45:00Z</cp:lastPrinted>
  <dcterms:created xsi:type="dcterms:W3CDTF">2026-09-28T03:46:00Z</dcterms:created>
  <dcterms:modified xsi:type="dcterms:W3CDTF">2026-10-09T06:41:21Z</dcterms:modified>
</cp:coreProperties>
</file>